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B2FF5D" w14:textId="77777777" w:rsidR="0032541F" w:rsidRPr="00FC2017" w:rsidRDefault="0032541F" w:rsidP="0032541F">
      <w:pPr>
        <w:spacing w:before="100" w:beforeAutospacing="1" w:after="100" w:afterAutospacing="1"/>
        <w:rPr>
          <w:rFonts w:asciiTheme="majorHAnsi" w:hAnsiTheme="majorHAnsi" w:cs="Times New Roman"/>
          <w:sz w:val="20"/>
          <w:szCs w:val="20"/>
        </w:rPr>
      </w:pPr>
      <w:r w:rsidRPr="00FC2017">
        <w:rPr>
          <w:rFonts w:asciiTheme="majorHAnsi" w:hAnsiTheme="majorHAnsi" w:cs="Times New Roman"/>
          <w:sz w:val="20"/>
          <w:szCs w:val="20"/>
        </w:rPr>
        <w:t xml:space="preserve">VIEGA </w:t>
      </w:r>
      <w:r w:rsidR="0065025B">
        <w:rPr>
          <w:rFonts w:asciiTheme="majorHAnsi" w:hAnsiTheme="majorHAnsi" w:cs="Times New Roman"/>
          <w:sz w:val="20"/>
          <w:szCs w:val="20"/>
        </w:rPr>
        <w:t>Megapress</w:t>
      </w:r>
      <w:r w:rsidR="00383840">
        <w:rPr>
          <w:rFonts w:asciiTheme="majorHAnsi" w:hAnsiTheme="majorHAnsi" w:cs="Times New Roman"/>
          <w:sz w:val="20"/>
          <w:szCs w:val="20"/>
        </w:rPr>
        <w:t xml:space="preserve"> S</w:t>
      </w:r>
    </w:p>
    <w:p w14:paraId="6CFB5BD6" w14:textId="77777777" w:rsidR="0032541F" w:rsidRPr="0065025B" w:rsidRDefault="00BB048D" w:rsidP="0032541F">
      <w:pPr>
        <w:spacing w:before="100" w:beforeAutospacing="1" w:after="100" w:afterAutospacing="1"/>
        <w:rPr>
          <w:rFonts w:asciiTheme="majorHAnsi" w:hAnsiTheme="majorHAnsi" w:cs="Times New Roman"/>
          <w:color w:val="FF0000"/>
          <w:sz w:val="20"/>
          <w:szCs w:val="20"/>
        </w:rPr>
      </w:pPr>
      <w:proofErr w:type="gramStart"/>
      <w:r>
        <w:rPr>
          <w:rFonts w:asciiTheme="majorHAnsi" w:hAnsiTheme="majorHAnsi" w:cs="Times New Roman"/>
          <w:b/>
          <w:bCs/>
          <w:color w:val="FF0000"/>
          <w:sz w:val="20"/>
          <w:szCs w:val="20"/>
        </w:rPr>
        <w:t>Pressare</w:t>
      </w:r>
      <w:r w:rsidR="0065025B" w:rsidRPr="0065025B">
        <w:rPr>
          <w:rFonts w:asciiTheme="majorHAnsi" w:hAnsiTheme="majorHAnsi" w:cs="Times New Roman"/>
          <w:b/>
          <w:bCs/>
          <w:color w:val="FF0000"/>
          <w:sz w:val="20"/>
          <w:szCs w:val="20"/>
        </w:rPr>
        <w:t xml:space="preserve"> tubi di acciaio a parete normale</w:t>
      </w:r>
      <w:r>
        <w:rPr>
          <w:rFonts w:asciiTheme="majorHAnsi" w:hAnsiTheme="majorHAnsi" w:cs="Times New Roman"/>
          <w:b/>
          <w:bCs/>
          <w:color w:val="FF0000"/>
          <w:sz w:val="20"/>
          <w:szCs w:val="20"/>
        </w:rPr>
        <w:t xml:space="preserve"> negli impianti </w:t>
      </w:r>
      <w:bookmarkStart w:id="0" w:name="_GoBack"/>
      <w:bookmarkEnd w:id="0"/>
      <w:r w:rsidR="00DB3CFB">
        <w:rPr>
          <w:rFonts w:asciiTheme="majorHAnsi" w:hAnsiTheme="majorHAnsi" w:cs="Times New Roman"/>
          <w:b/>
          <w:bCs/>
          <w:color w:val="FF0000"/>
          <w:sz w:val="20"/>
          <w:szCs w:val="20"/>
        </w:rPr>
        <w:t>industriali e di grandi dimensioni</w:t>
      </w:r>
      <w:r w:rsidR="0032541F" w:rsidRPr="0065025B">
        <w:rPr>
          <w:rFonts w:asciiTheme="majorHAnsi" w:hAnsiTheme="majorHAnsi" w:cs="Times New Roman"/>
          <w:b/>
          <w:bCs/>
          <w:color w:val="FF0000"/>
          <w:sz w:val="20"/>
          <w:szCs w:val="20"/>
        </w:rPr>
        <w:t>.</w:t>
      </w:r>
      <w:proofErr w:type="gramEnd"/>
    </w:p>
    <w:p w14:paraId="01FF24C5" w14:textId="77777777" w:rsidR="0032541F" w:rsidRPr="00FC2017" w:rsidRDefault="0032541F" w:rsidP="0032541F">
      <w:pPr>
        <w:spacing w:before="100" w:beforeAutospacing="1" w:after="100" w:afterAutospacing="1"/>
        <w:rPr>
          <w:rFonts w:asciiTheme="majorHAnsi" w:hAnsiTheme="majorHAnsi" w:cs="Times New Roman"/>
          <w:sz w:val="20"/>
          <w:szCs w:val="20"/>
        </w:rPr>
      </w:pPr>
      <w:r w:rsidRPr="00FC2017">
        <w:rPr>
          <w:rFonts w:asciiTheme="majorHAnsi" w:hAnsiTheme="majorHAnsi" w:cs="Times New Roman"/>
          <w:sz w:val="20"/>
          <w:szCs w:val="20"/>
        </w:rPr>
        <w:t> </w:t>
      </w:r>
      <w:r w:rsidR="003A0AE4">
        <w:rPr>
          <w:rFonts w:asciiTheme="majorHAnsi" w:hAnsiTheme="majorHAnsi" w:cs="Times New Roman"/>
          <w:noProof/>
          <w:sz w:val="20"/>
          <w:szCs w:val="20"/>
        </w:rPr>
        <w:drawing>
          <wp:inline distT="0" distB="0" distL="0" distR="0" wp14:anchorId="28AEDBD2" wp14:editId="5733C8ED">
            <wp:extent cx="6116320" cy="4407535"/>
            <wp:effectExtent l="0" t="0" r="5080" b="1206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01-2458149 alle 12.47.2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24F24" w14:textId="77777777" w:rsidR="00F31109" w:rsidRDefault="00F31109" w:rsidP="00120AF2">
      <w:pPr>
        <w:spacing w:before="100" w:beforeAutospacing="1" w:after="100" w:afterAutospacing="1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 xml:space="preserve">Il sistema Viega Megapress </w:t>
      </w:r>
      <w:r w:rsidR="00DB3CFB">
        <w:rPr>
          <w:rFonts w:asciiTheme="majorHAnsi" w:hAnsiTheme="majorHAnsi"/>
          <w:bCs/>
          <w:sz w:val="20"/>
          <w:szCs w:val="20"/>
        </w:rPr>
        <w:t xml:space="preserve">S </w:t>
      </w:r>
      <w:r>
        <w:rPr>
          <w:rFonts w:asciiTheme="majorHAnsi" w:hAnsiTheme="majorHAnsi"/>
          <w:bCs/>
          <w:sz w:val="20"/>
          <w:szCs w:val="20"/>
        </w:rPr>
        <w:t xml:space="preserve">è stato concepito per i seguenti campi </w:t>
      </w:r>
      <w:proofErr w:type="gramStart"/>
      <w:r>
        <w:rPr>
          <w:rFonts w:asciiTheme="majorHAnsi" w:hAnsiTheme="majorHAnsi"/>
          <w:bCs/>
          <w:sz w:val="20"/>
          <w:szCs w:val="20"/>
        </w:rPr>
        <w:t xml:space="preserve">di </w:t>
      </w:r>
      <w:proofErr w:type="gramEnd"/>
      <w:r>
        <w:rPr>
          <w:rFonts w:asciiTheme="majorHAnsi" w:hAnsiTheme="majorHAnsi"/>
          <w:bCs/>
          <w:sz w:val="20"/>
          <w:szCs w:val="20"/>
        </w:rPr>
        <w:t xml:space="preserve">impiego: </w:t>
      </w:r>
    </w:p>
    <w:p w14:paraId="0912ED0E" w14:textId="77777777" w:rsidR="00F31109" w:rsidRPr="00F31109" w:rsidRDefault="00F31109" w:rsidP="00F31109">
      <w:pPr>
        <w:spacing w:before="100" w:beforeAutospacing="1" w:after="100" w:afterAutospacing="1"/>
        <w:rPr>
          <w:rFonts w:asciiTheme="majorHAnsi" w:hAnsiTheme="majorHAnsi"/>
          <w:bCs/>
          <w:sz w:val="20"/>
          <w:szCs w:val="20"/>
        </w:rPr>
      </w:pPr>
      <w:r w:rsidRPr="00F31109">
        <w:rPr>
          <w:rFonts w:asciiTheme="majorHAnsi" w:hAnsiTheme="majorHAnsi"/>
          <w:bCs/>
          <w:sz w:val="20"/>
          <w:szCs w:val="20"/>
        </w:rPr>
        <w:t xml:space="preserve">Impianti di riscaldamento a circuito chiuso </w:t>
      </w:r>
      <w:r w:rsidRPr="00F31109">
        <w:rPr>
          <w:rFonts w:asciiTheme="majorHAnsi" w:hAnsiTheme="majorHAnsi"/>
          <w:bCs/>
          <w:sz w:val="20"/>
          <w:szCs w:val="20"/>
        </w:rPr>
        <w:br/>
        <w:t xml:space="preserve">Impianti di climatizzazione a circuito chiuso </w:t>
      </w:r>
      <w:r w:rsidRPr="00F31109">
        <w:rPr>
          <w:rFonts w:asciiTheme="majorHAnsi" w:hAnsiTheme="majorHAnsi"/>
          <w:bCs/>
          <w:sz w:val="20"/>
          <w:szCs w:val="20"/>
        </w:rPr>
        <w:br/>
        <w:t xml:space="preserve">Impianti ad aria compressa </w:t>
      </w:r>
      <w:r w:rsidR="00CE24C6">
        <w:rPr>
          <w:rFonts w:asciiTheme="majorHAnsi" w:hAnsiTheme="majorHAnsi"/>
          <w:bCs/>
          <w:sz w:val="20"/>
          <w:szCs w:val="20"/>
        </w:rPr>
        <w:t>(anche con residui oleosi ≥ 25 mg/m</w:t>
      </w:r>
      <w:r w:rsidR="00CE24C6" w:rsidRPr="006E677C">
        <w:rPr>
          <w:rFonts w:asciiTheme="majorHAnsi" w:hAnsiTheme="majorHAnsi"/>
          <w:bCs/>
          <w:sz w:val="20"/>
          <w:szCs w:val="20"/>
          <w:vertAlign w:val="superscript"/>
        </w:rPr>
        <w:t>3</w:t>
      </w:r>
      <w:r w:rsidR="00CE24C6">
        <w:rPr>
          <w:rFonts w:asciiTheme="majorHAnsi" w:hAnsiTheme="majorHAnsi"/>
          <w:bCs/>
          <w:sz w:val="20"/>
          <w:szCs w:val="20"/>
        </w:rPr>
        <w:t>)</w:t>
      </w:r>
      <w:r w:rsidRPr="00F31109">
        <w:rPr>
          <w:rFonts w:asciiTheme="majorHAnsi" w:hAnsiTheme="majorHAnsi"/>
          <w:bCs/>
          <w:sz w:val="20"/>
          <w:szCs w:val="20"/>
        </w:rPr>
        <w:br/>
      </w:r>
      <w:r w:rsidRPr="00F31109">
        <w:rPr>
          <w:rFonts w:asciiTheme="majorHAnsi" w:hAnsiTheme="majorHAnsi"/>
          <w:bCs/>
          <w:sz w:val="20"/>
          <w:szCs w:val="20"/>
        </w:rPr>
        <w:br/>
        <w:t xml:space="preserve">Impianti antincendio e sprinkler </w:t>
      </w:r>
      <w:r w:rsidR="00DB3CFB">
        <w:rPr>
          <w:rFonts w:asciiTheme="majorHAnsi" w:hAnsiTheme="majorHAnsi"/>
          <w:bCs/>
          <w:sz w:val="20"/>
          <w:szCs w:val="20"/>
        </w:rPr>
        <w:br/>
        <w:t xml:space="preserve">Impianti solari e ad alta temperatura </w:t>
      </w:r>
      <w:r w:rsidR="00DB3CFB" w:rsidRPr="00F31109">
        <w:rPr>
          <w:rFonts w:asciiTheme="majorHAnsi" w:hAnsiTheme="majorHAnsi"/>
          <w:bCs/>
          <w:sz w:val="20"/>
          <w:szCs w:val="20"/>
        </w:rPr>
        <w:t>(consultare il nostro Centro Servizi</w:t>
      </w:r>
      <w:proofErr w:type="gramStart"/>
      <w:r w:rsidR="00DB3CFB" w:rsidRPr="00F31109">
        <w:rPr>
          <w:rFonts w:asciiTheme="majorHAnsi" w:hAnsiTheme="majorHAnsi"/>
          <w:bCs/>
          <w:sz w:val="20"/>
          <w:szCs w:val="20"/>
        </w:rPr>
        <w:t>)</w:t>
      </w:r>
      <w:proofErr w:type="gramEnd"/>
      <w:r w:rsidRPr="00F31109">
        <w:rPr>
          <w:rFonts w:asciiTheme="majorHAnsi" w:hAnsiTheme="majorHAnsi"/>
          <w:bCs/>
          <w:sz w:val="20"/>
          <w:szCs w:val="20"/>
        </w:rPr>
        <w:br/>
        <w:t xml:space="preserve">Impianti per gas tecnici </w:t>
      </w:r>
      <w:r w:rsidR="00DB3CFB">
        <w:rPr>
          <w:rFonts w:asciiTheme="majorHAnsi" w:hAnsiTheme="majorHAnsi"/>
          <w:bCs/>
          <w:sz w:val="20"/>
          <w:szCs w:val="20"/>
        </w:rPr>
        <w:t xml:space="preserve">e industriali </w:t>
      </w:r>
      <w:r w:rsidRPr="00F31109">
        <w:rPr>
          <w:rFonts w:asciiTheme="majorHAnsi" w:hAnsiTheme="majorHAnsi"/>
          <w:bCs/>
          <w:sz w:val="20"/>
          <w:szCs w:val="20"/>
        </w:rPr>
        <w:t>(consultare il nostro Centro Servizi</w:t>
      </w:r>
      <w:proofErr w:type="gramStart"/>
      <w:r w:rsidRPr="00F31109">
        <w:rPr>
          <w:rFonts w:asciiTheme="majorHAnsi" w:hAnsiTheme="majorHAnsi"/>
          <w:bCs/>
          <w:sz w:val="20"/>
          <w:szCs w:val="20"/>
        </w:rPr>
        <w:t>)</w:t>
      </w:r>
      <w:proofErr w:type="gramEnd"/>
      <w:r w:rsidRPr="00F31109">
        <w:rPr>
          <w:rFonts w:asciiTheme="majorHAnsi" w:hAnsiTheme="majorHAnsi"/>
          <w:bCs/>
          <w:sz w:val="20"/>
          <w:szCs w:val="20"/>
        </w:rPr>
        <w:t xml:space="preserve"> </w:t>
      </w:r>
    </w:p>
    <w:p w14:paraId="361CD574" w14:textId="77777777" w:rsidR="003D3F28" w:rsidRDefault="00383840" w:rsidP="00120AF2">
      <w:pPr>
        <w:spacing w:before="100" w:beforeAutospacing="1" w:after="100" w:afterAutospacing="1"/>
        <w:rPr>
          <w:rFonts w:asciiTheme="majorHAnsi" w:hAnsiTheme="majorHAnsi" w:cs="Times New Roman"/>
          <w:sz w:val="20"/>
          <w:szCs w:val="20"/>
        </w:rPr>
      </w:pPr>
      <w:r w:rsidRPr="00383840">
        <w:rPr>
          <w:rFonts w:asciiTheme="majorHAnsi" w:hAnsiTheme="majorHAnsi"/>
          <w:bCs/>
          <w:sz w:val="20"/>
          <w:szCs w:val="20"/>
        </w:rPr>
        <w:t xml:space="preserve">Sistema a pressare con raccordi di acciaio al carbonio non legato 1.0308 per tubi di acciaio nero, zincato, </w:t>
      </w:r>
      <w:proofErr w:type="spellStart"/>
      <w:r w:rsidR="00DB3CFB">
        <w:rPr>
          <w:rFonts w:asciiTheme="majorHAnsi" w:hAnsiTheme="majorHAnsi"/>
          <w:bCs/>
          <w:sz w:val="20"/>
          <w:szCs w:val="20"/>
        </w:rPr>
        <w:t>pre</w:t>
      </w:r>
      <w:r w:rsidR="00DB3CFB" w:rsidRPr="00383840">
        <w:rPr>
          <w:rFonts w:asciiTheme="majorHAnsi" w:hAnsiTheme="majorHAnsi"/>
          <w:bCs/>
          <w:sz w:val="20"/>
          <w:szCs w:val="20"/>
        </w:rPr>
        <w:t>verniciat</w:t>
      </w:r>
      <w:r w:rsidR="00DB3CFB">
        <w:rPr>
          <w:rFonts w:asciiTheme="majorHAnsi" w:hAnsiTheme="majorHAnsi"/>
          <w:bCs/>
          <w:sz w:val="20"/>
          <w:szCs w:val="20"/>
        </w:rPr>
        <w:t>i</w:t>
      </w:r>
      <w:proofErr w:type="spellEnd"/>
      <w:r w:rsidR="00DB3CFB" w:rsidRPr="00383840">
        <w:rPr>
          <w:rFonts w:asciiTheme="majorHAnsi" w:hAnsiTheme="majorHAnsi"/>
          <w:bCs/>
          <w:sz w:val="20"/>
          <w:szCs w:val="20"/>
        </w:rPr>
        <w:t xml:space="preserve"> </w:t>
      </w:r>
      <w:r w:rsidRPr="00383840">
        <w:rPr>
          <w:rFonts w:asciiTheme="majorHAnsi" w:hAnsiTheme="majorHAnsi"/>
          <w:bCs/>
          <w:sz w:val="20"/>
          <w:szCs w:val="20"/>
        </w:rPr>
        <w:t xml:space="preserve">industrialmente con dimensioni in conformità </w:t>
      </w:r>
      <w:proofErr w:type="gramStart"/>
      <w:r w:rsidRPr="00383840">
        <w:rPr>
          <w:rFonts w:asciiTheme="majorHAnsi" w:hAnsiTheme="majorHAnsi"/>
          <w:bCs/>
          <w:sz w:val="20"/>
          <w:szCs w:val="20"/>
        </w:rPr>
        <w:t xml:space="preserve">alla </w:t>
      </w:r>
      <w:proofErr w:type="gramEnd"/>
      <w:r w:rsidRPr="00383840">
        <w:rPr>
          <w:rFonts w:asciiTheme="majorHAnsi" w:hAnsiTheme="majorHAnsi"/>
          <w:bCs/>
          <w:sz w:val="20"/>
          <w:szCs w:val="20"/>
        </w:rPr>
        <w:t>UNI EN 10255 e UNI EN 10220 / UNI EN 10216</w:t>
      </w:r>
      <w:r w:rsidRPr="00383840">
        <w:rPr>
          <w:rFonts w:asciiTheme="majorHAnsi" w:hAnsiTheme="majorHAnsi"/>
          <w:bCs/>
          <w:sz w:val="20"/>
          <w:szCs w:val="20"/>
        </w:rPr>
        <w:noBreakHyphen/>
        <w:t>1 nonché UNI EN 10220 / UNI EN 10217</w:t>
      </w:r>
      <w:r w:rsidRPr="00383840">
        <w:rPr>
          <w:rFonts w:asciiTheme="majorHAnsi" w:hAnsiTheme="majorHAnsi"/>
          <w:bCs/>
          <w:sz w:val="20"/>
          <w:szCs w:val="20"/>
        </w:rPr>
        <w:noBreakHyphen/>
        <w:t>1. Raccordi conformi alla norma di prodotto UNI 11179 classe 1</w:t>
      </w:r>
      <w:r w:rsidR="00CE24C6">
        <w:rPr>
          <w:rFonts w:asciiTheme="majorHAnsi" w:hAnsiTheme="majorHAnsi"/>
          <w:bCs/>
          <w:sz w:val="20"/>
          <w:szCs w:val="20"/>
        </w:rPr>
        <w:t xml:space="preserve">, con possibilità </w:t>
      </w:r>
      <w:proofErr w:type="gramStart"/>
      <w:r w:rsidR="00CE24C6">
        <w:rPr>
          <w:rFonts w:asciiTheme="majorHAnsi" w:hAnsiTheme="majorHAnsi"/>
          <w:bCs/>
          <w:sz w:val="20"/>
          <w:szCs w:val="20"/>
        </w:rPr>
        <w:t xml:space="preserve">di </w:t>
      </w:r>
      <w:proofErr w:type="gramEnd"/>
      <w:r w:rsidR="00CE24C6">
        <w:rPr>
          <w:rFonts w:asciiTheme="majorHAnsi" w:hAnsiTheme="majorHAnsi"/>
          <w:bCs/>
          <w:sz w:val="20"/>
          <w:szCs w:val="20"/>
        </w:rPr>
        <w:t>impiego con pressione massima di esercizio pari a 16 bar e massima temperatura operativa di 140°C (condizioni riferite al trasporto di acqua)</w:t>
      </w:r>
      <w:r w:rsidRPr="00383840">
        <w:rPr>
          <w:rFonts w:asciiTheme="majorHAnsi" w:hAnsiTheme="majorHAnsi"/>
          <w:bCs/>
          <w:sz w:val="20"/>
          <w:szCs w:val="20"/>
        </w:rPr>
        <w:t xml:space="preserve">. </w:t>
      </w:r>
      <w:r w:rsidRPr="00383840">
        <w:rPr>
          <w:rFonts w:asciiTheme="majorHAnsi" w:hAnsiTheme="majorHAnsi"/>
          <w:bCs/>
          <w:sz w:val="20"/>
          <w:szCs w:val="20"/>
        </w:rPr>
        <w:br/>
        <w:t>I raccordi a pressare Megapress S</w:t>
      </w:r>
      <w:r w:rsidR="00CE24C6">
        <w:rPr>
          <w:rFonts w:asciiTheme="majorHAnsi" w:hAnsiTheme="majorHAnsi"/>
          <w:bCs/>
          <w:sz w:val="20"/>
          <w:szCs w:val="20"/>
        </w:rPr>
        <w:t xml:space="preserve">, disponibili nelle dimensioni da 2 ½ a </w:t>
      </w:r>
      <w:proofErr w:type="gramStart"/>
      <w:r w:rsidR="00CE24C6">
        <w:rPr>
          <w:rFonts w:asciiTheme="majorHAnsi" w:hAnsiTheme="majorHAnsi"/>
          <w:bCs/>
          <w:sz w:val="20"/>
          <w:szCs w:val="20"/>
        </w:rPr>
        <w:t>4</w:t>
      </w:r>
      <w:proofErr w:type="gramEnd"/>
      <w:r w:rsidR="00CE24C6">
        <w:rPr>
          <w:rFonts w:asciiTheme="majorHAnsi" w:hAnsiTheme="majorHAnsi"/>
          <w:bCs/>
          <w:sz w:val="20"/>
          <w:szCs w:val="20"/>
        </w:rPr>
        <w:t xml:space="preserve"> pollici,</w:t>
      </w:r>
      <w:r w:rsidRPr="00383840">
        <w:rPr>
          <w:rFonts w:asciiTheme="majorHAnsi" w:hAnsiTheme="majorHAnsi"/>
          <w:bCs/>
          <w:sz w:val="20"/>
          <w:szCs w:val="20"/>
        </w:rPr>
        <w:t xml:space="preserve"> sono di acciaio al carbonio non legato, materiale tipo 1.0308, con zincatura-​nichelatura esterna galvanica</w:t>
      </w:r>
      <w:r w:rsidR="00DB3CFB">
        <w:rPr>
          <w:rFonts w:asciiTheme="majorHAnsi" w:hAnsiTheme="majorHAnsi"/>
          <w:bCs/>
          <w:sz w:val="20"/>
          <w:szCs w:val="20"/>
        </w:rPr>
        <w:t xml:space="preserve"> sp. 3-5 µm e forniti di serie con guarnizione di FKM</w:t>
      </w:r>
      <w:r w:rsidRPr="00383840">
        <w:rPr>
          <w:rFonts w:asciiTheme="majorHAnsi" w:hAnsiTheme="majorHAnsi"/>
          <w:bCs/>
          <w:sz w:val="20"/>
          <w:szCs w:val="20"/>
        </w:rPr>
        <w:t xml:space="preserve">. </w:t>
      </w:r>
      <w:r w:rsidRPr="00383840">
        <w:rPr>
          <w:rFonts w:asciiTheme="majorHAnsi" w:hAnsiTheme="majorHAnsi"/>
          <w:bCs/>
          <w:sz w:val="20"/>
          <w:szCs w:val="20"/>
        </w:rPr>
        <w:br/>
        <w:t xml:space="preserve">Tutte le dimensioni </w:t>
      </w:r>
      <w:r w:rsidR="00CE24C6">
        <w:rPr>
          <w:rFonts w:asciiTheme="majorHAnsi" w:hAnsiTheme="majorHAnsi"/>
          <w:bCs/>
          <w:sz w:val="20"/>
          <w:szCs w:val="20"/>
        </w:rPr>
        <w:t xml:space="preserve">dotate di dispositivo di sicurezza </w:t>
      </w:r>
      <w:r w:rsidRPr="00383840">
        <w:rPr>
          <w:rFonts w:asciiTheme="majorHAnsi" w:hAnsiTheme="majorHAnsi"/>
          <w:bCs/>
          <w:sz w:val="20"/>
          <w:szCs w:val="20"/>
        </w:rPr>
        <w:t>SC</w:t>
      </w:r>
      <w:r w:rsidRPr="00383840">
        <w:rPr>
          <w:rFonts w:asciiTheme="majorHAnsi" w:hAnsiTheme="majorHAnsi"/>
          <w:bCs/>
          <w:sz w:val="20"/>
          <w:szCs w:val="20"/>
        </w:rPr>
        <w:noBreakHyphen/>
      </w:r>
      <w:proofErr w:type="spellStart"/>
      <w:r w:rsidRPr="00383840">
        <w:rPr>
          <w:rFonts w:asciiTheme="majorHAnsi" w:hAnsiTheme="majorHAnsi"/>
          <w:bCs/>
          <w:sz w:val="20"/>
          <w:szCs w:val="20"/>
        </w:rPr>
        <w:t>Contur</w:t>
      </w:r>
      <w:proofErr w:type="spellEnd"/>
      <w:r w:rsidRPr="00383840">
        <w:rPr>
          <w:rFonts w:asciiTheme="majorHAnsi" w:hAnsiTheme="majorHAnsi"/>
          <w:bCs/>
          <w:sz w:val="20"/>
          <w:szCs w:val="20"/>
        </w:rPr>
        <w:t xml:space="preserve">: i raccordi inavvertitamente non pressati durante il montaggio diventano visibili </w:t>
      </w:r>
      <w:r w:rsidR="00CE24C6">
        <w:rPr>
          <w:rFonts w:asciiTheme="majorHAnsi" w:hAnsiTheme="majorHAnsi"/>
          <w:bCs/>
          <w:sz w:val="20"/>
          <w:szCs w:val="20"/>
        </w:rPr>
        <w:t>già durante il</w:t>
      </w:r>
      <w:r w:rsidR="00CE24C6" w:rsidRPr="00383840" w:rsidDel="00CE24C6">
        <w:rPr>
          <w:rFonts w:asciiTheme="majorHAnsi" w:hAnsiTheme="majorHAnsi"/>
          <w:bCs/>
          <w:sz w:val="20"/>
          <w:szCs w:val="20"/>
        </w:rPr>
        <w:t xml:space="preserve"> </w:t>
      </w:r>
      <w:r w:rsidRPr="00383840">
        <w:rPr>
          <w:rFonts w:asciiTheme="majorHAnsi" w:hAnsiTheme="majorHAnsi"/>
          <w:bCs/>
          <w:sz w:val="20"/>
          <w:szCs w:val="20"/>
        </w:rPr>
        <w:t>riempimento dell'impianto. Il dispositivo SC</w:t>
      </w:r>
      <w:r w:rsidRPr="00383840">
        <w:rPr>
          <w:rFonts w:asciiTheme="majorHAnsi" w:hAnsiTheme="majorHAnsi"/>
          <w:bCs/>
          <w:sz w:val="20"/>
          <w:szCs w:val="20"/>
        </w:rPr>
        <w:noBreakHyphen/>
      </w:r>
      <w:proofErr w:type="spellStart"/>
      <w:r w:rsidRPr="00383840">
        <w:rPr>
          <w:rFonts w:asciiTheme="majorHAnsi" w:hAnsiTheme="majorHAnsi"/>
          <w:bCs/>
          <w:sz w:val="20"/>
          <w:szCs w:val="20"/>
        </w:rPr>
        <w:t>Contur</w:t>
      </w:r>
      <w:proofErr w:type="spellEnd"/>
      <w:r w:rsidRPr="00383840">
        <w:rPr>
          <w:rFonts w:asciiTheme="majorHAnsi" w:hAnsiTheme="majorHAnsi"/>
          <w:bCs/>
          <w:sz w:val="20"/>
          <w:szCs w:val="20"/>
        </w:rPr>
        <w:t xml:space="preserve"> è certificato e rispetta le prescrizioni della scheda tecnica DVGW W 534, Punto 12.14 (Raccordi con perdita controllata). </w:t>
      </w:r>
      <w:r w:rsidRPr="00383840">
        <w:rPr>
          <w:rFonts w:asciiTheme="majorHAnsi" w:hAnsiTheme="majorHAnsi"/>
          <w:bCs/>
          <w:sz w:val="20"/>
          <w:szCs w:val="20"/>
        </w:rPr>
        <w:br/>
        <w:t>Nelle prove di tenuta con acqua, Viega garantisce il riconoscimento di raccordi non pressati nel campo di pressione 0,1 MPa–0,65 </w:t>
      </w:r>
      <w:proofErr w:type="spellStart"/>
      <w:r w:rsidRPr="00383840">
        <w:rPr>
          <w:rFonts w:asciiTheme="majorHAnsi" w:hAnsiTheme="majorHAnsi"/>
          <w:bCs/>
          <w:sz w:val="20"/>
          <w:szCs w:val="20"/>
        </w:rPr>
        <w:t>MPa</w:t>
      </w:r>
      <w:proofErr w:type="spellEnd"/>
      <w:r w:rsidR="00CE24C6">
        <w:rPr>
          <w:rFonts w:asciiTheme="majorHAnsi" w:hAnsiTheme="majorHAnsi"/>
          <w:bCs/>
          <w:sz w:val="20"/>
          <w:szCs w:val="20"/>
        </w:rPr>
        <w:t xml:space="preserve"> (1-6,5 bar)</w:t>
      </w:r>
      <w:r w:rsidRPr="00383840">
        <w:rPr>
          <w:rFonts w:asciiTheme="majorHAnsi" w:hAnsiTheme="majorHAnsi"/>
          <w:bCs/>
          <w:sz w:val="20"/>
          <w:szCs w:val="20"/>
        </w:rPr>
        <w:t xml:space="preserve">, nella prova di tenuta a secco con aria compressa o gas inerti </w:t>
      </w:r>
      <w:proofErr w:type="gramStart"/>
      <w:r w:rsidRPr="00383840">
        <w:rPr>
          <w:rFonts w:asciiTheme="majorHAnsi" w:hAnsiTheme="majorHAnsi"/>
          <w:bCs/>
          <w:sz w:val="20"/>
          <w:szCs w:val="20"/>
        </w:rPr>
        <w:t>22</w:t>
      </w:r>
      <w:proofErr w:type="gramEnd"/>
      <w:r w:rsidRPr="00383840">
        <w:rPr>
          <w:rFonts w:asciiTheme="majorHAnsi" w:hAnsiTheme="majorHAnsi"/>
          <w:bCs/>
          <w:sz w:val="20"/>
          <w:szCs w:val="20"/>
        </w:rPr>
        <w:t> hPa–0,3 </w:t>
      </w:r>
      <w:proofErr w:type="spellStart"/>
      <w:r w:rsidRPr="00383840">
        <w:rPr>
          <w:rFonts w:asciiTheme="majorHAnsi" w:hAnsiTheme="majorHAnsi"/>
          <w:bCs/>
          <w:sz w:val="20"/>
          <w:szCs w:val="20"/>
        </w:rPr>
        <w:t>MPa</w:t>
      </w:r>
      <w:proofErr w:type="spellEnd"/>
      <w:r w:rsidR="00CE24C6">
        <w:rPr>
          <w:rFonts w:asciiTheme="majorHAnsi" w:hAnsiTheme="majorHAnsi"/>
          <w:bCs/>
          <w:sz w:val="20"/>
          <w:szCs w:val="20"/>
        </w:rPr>
        <w:t xml:space="preserve"> (22 </w:t>
      </w:r>
      <w:proofErr w:type="spellStart"/>
      <w:r w:rsidR="00CE24C6">
        <w:rPr>
          <w:rFonts w:asciiTheme="majorHAnsi" w:hAnsiTheme="majorHAnsi"/>
          <w:bCs/>
          <w:sz w:val="20"/>
          <w:szCs w:val="20"/>
        </w:rPr>
        <w:t>mbar</w:t>
      </w:r>
      <w:proofErr w:type="spellEnd"/>
      <w:r w:rsidR="00CE24C6">
        <w:rPr>
          <w:rFonts w:asciiTheme="majorHAnsi" w:hAnsiTheme="majorHAnsi"/>
          <w:bCs/>
          <w:sz w:val="20"/>
          <w:szCs w:val="20"/>
        </w:rPr>
        <w:t xml:space="preserve"> – 3 bar)</w:t>
      </w:r>
      <w:r w:rsidRPr="00383840">
        <w:rPr>
          <w:rFonts w:asciiTheme="majorHAnsi" w:hAnsiTheme="majorHAnsi"/>
          <w:bCs/>
          <w:sz w:val="20"/>
          <w:szCs w:val="20"/>
        </w:rPr>
        <w:t>.</w:t>
      </w:r>
      <w:r w:rsidR="0032541F" w:rsidRPr="00FC2017">
        <w:rPr>
          <w:rFonts w:asciiTheme="majorHAnsi" w:hAnsiTheme="majorHAnsi" w:cs="Times New Roman"/>
          <w:sz w:val="20"/>
          <w:szCs w:val="20"/>
        </w:rPr>
        <w:t> </w:t>
      </w:r>
    </w:p>
    <w:p w14:paraId="0B3592CB" w14:textId="77777777" w:rsidR="007F099A" w:rsidRDefault="007F099A" w:rsidP="00120AF2">
      <w:pPr>
        <w:spacing w:before="100" w:beforeAutospacing="1" w:after="100" w:afterAutospacing="1"/>
        <w:rPr>
          <w:rFonts w:asciiTheme="majorHAnsi" w:hAnsiTheme="majorHAnsi" w:cs="Times New Roman"/>
          <w:sz w:val="20"/>
          <w:szCs w:val="20"/>
        </w:rPr>
      </w:pPr>
    </w:p>
    <w:p w14:paraId="214D2C72" w14:textId="77777777" w:rsidR="007F099A" w:rsidRPr="00120AF2" w:rsidRDefault="007F099A" w:rsidP="00120AF2">
      <w:pPr>
        <w:spacing w:before="100" w:beforeAutospacing="1" w:after="100" w:afterAutospacing="1"/>
        <w:rPr>
          <w:rFonts w:asciiTheme="majorHAnsi" w:hAnsiTheme="majorHAnsi" w:cs="Times New Roman"/>
          <w:sz w:val="20"/>
          <w:szCs w:val="20"/>
        </w:rPr>
      </w:pPr>
      <w:r w:rsidRPr="007F099A">
        <w:rPr>
          <w:rFonts w:asciiTheme="majorHAnsi" w:hAnsiTheme="majorHAnsi" w:cs="Times New Roman"/>
          <w:sz w:val="20"/>
          <w:szCs w:val="20"/>
        </w:rPr>
        <w:t>https://www.viega.it/it/prodotti/Catalogo/Linea-sistemi-di-tubazionilinea/Megapress-S.html</w:t>
      </w:r>
    </w:p>
    <w:sectPr w:rsidR="007F099A" w:rsidRPr="00120AF2" w:rsidSect="009E23B1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25280"/>
    <w:multiLevelType w:val="hybridMultilevel"/>
    <w:tmpl w:val="6ECE4D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32541F"/>
    <w:rsid w:val="00084D22"/>
    <w:rsid w:val="000E2A89"/>
    <w:rsid w:val="000F349F"/>
    <w:rsid w:val="00120AF2"/>
    <w:rsid w:val="00206F7A"/>
    <w:rsid w:val="00243BB8"/>
    <w:rsid w:val="00247EBC"/>
    <w:rsid w:val="00265F41"/>
    <w:rsid w:val="002F4E78"/>
    <w:rsid w:val="0032541F"/>
    <w:rsid w:val="00383840"/>
    <w:rsid w:val="003A0AE4"/>
    <w:rsid w:val="003D3F28"/>
    <w:rsid w:val="00412B7D"/>
    <w:rsid w:val="0043106E"/>
    <w:rsid w:val="00435AD0"/>
    <w:rsid w:val="004D7999"/>
    <w:rsid w:val="005225EE"/>
    <w:rsid w:val="0055103E"/>
    <w:rsid w:val="00643326"/>
    <w:rsid w:val="0065025B"/>
    <w:rsid w:val="0065199C"/>
    <w:rsid w:val="00690DBC"/>
    <w:rsid w:val="006B0545"/>
    <w:rsid w:val="00753DC1"/>
    <w:rsid w:val="007F099A"/>
    <w:rsid w:val="00820811"/>
    <w:rsid w:val="008B35E1"/>
    <w:rsid w:val="008C58AA"/>
    <w:rsid w:val="008F6E0F"/>
    <w:rsid w:val="00934C5B"/>
    <w:rsid w:val="009E23B1"/>
    <w:rsid w:val="00A15B84"/>
    <w:rsid w:val="00A835BA"/>
    <w:rsid w:val="00A97276"/>
    <w:rsid w:val="00AA7804"/>
    <w:rsid w:val="00B00DE1"/>
    <w:rsid w:val="00B21ABE"/>
    <w:rsid w:val="00BB048D"/>
    <w:rsid w:val="00CA426E"/>
    <w:rsid w:val="00CB36DE"/>
    <w:rsid w:val="00CE24C6"/>
    <w:rsid w:val="00DB3CFB"/>
    <w:rsid w:val="00E14CA4"/>
    <w:rsid w:val="00F31109"/>
    <w:rsid w:val="00F47B61"/>
    <w:rsid w:val="00FC2017"/>
    <w:rsid w:val="00FE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48D12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2B7D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5B8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15B84"/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206F7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06F7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206F7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06F7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06F7A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120AF2"/>
  </w:style>
  <w:style w:type="paragraph" w:styleId="NormaleWeb">
    <w:name w:val="Normal (Web)"/>
    <w:basedOn w:val="Normale"/>
    <w:uiPriority w:val="99"/>
    <w:semiHidden/>
    <w:unhideWhenUsed/>
    <w:rsid w:val="00643326"/>
    <w:rPr>
      <w:rFonts w:ascii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F311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5B8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15B84"/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206F7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06F7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206F7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06F7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06F7A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120AF2"/>
  </w:style>
  <w:style w:type="paragraph" w:styleId="NormaleWeb">
    <w:name w:val="Normal (Web)"/>
    <w:basedOn w:val="Normale"/>
    <w:uiPriority w:val="99"/>
    <w:semiHidden/>
    <w:unhideWhenUsed/>
    <w:rsid w:val="00643326"/>
    <w:rPr>
      <w:rFonts w:ascii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F311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1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6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35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4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8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8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70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35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6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289</Words>
  <Characters>1650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Cernuto Pizzigoni &amp; Partners</Company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Massimiliano Trepiccione</dc:creator>
  <cp:lastModifiedBy>Sabine Schweigert</cp:lastModifiedBy>
  <cp:revision>9</cp:revision>
  <cp:lastPrinted>2017-07-19T09:52:00Z</cp:lastPrinted>
  <dcterms:created xsi:type="dcterms:W3CDTF">2018-01-30T11:01:00Z</dcterms:created>
  <dcterms:modified xsi:type="dcterms:W3CDTF">2018-01-31T11:32:00Z</dcterms:modified>
</cp:coreProperties>
</file>